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318"/>
        <w:tblW w:w="90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0"/>
        <w:gridCol w:w="6832"/>
      </w:tblGrid>
      <w:tr w:rsidR="006D7E72" w14:paraId="7C331D02" w14:textId="77777777" w:rsidTr="006D7E72">
        <w:trPr>
          <w:trHeight w:hRule="exact" w:val="340"/>
        </w:trPr>
        <w:tc>
          <w:tcPr>
            <w:tcW w:w="2210" w:type="dxa"/>
            <w:tcBorders>
              <w:top w:val="double" w:sz="4" w:space="0" w:color="auto"/>
              <w:left w:val="double" w:sz="4" w:space="0" w:color="auto"/>
              <w:bottom w:val="single" w:sz="4" w:space="0" w:color="auto"/>
              <w:right w:val="single" w:sz="4" w:space="0" w:color="auto"/>
            </w:tcBorders>
            <w:vAlign w:val="center"/>
          </w:tcPr>
          <w:p w14:paraId="6BD20D68" w14:textId="6AEF2AF2"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Code:</w:t>
            </w:r>
          </w:p>
        </w:tc>
        <w:tc>
          <w:tcPr>
            <w:tcW w:w="6832" w:type="dxa"/>
            <w:tcBorders>
              <w:top w:val="double" w:sz="4" w:space="0" w:color="auto"/>
              <w:left w:val="single" w:sz="4" w:space="0" w:color="auto"/>
              <w:bottom w:val="single" w:sz="4" w:space="0" w:color="auto"/>
              <w:right w:val="double" w:sz="4" w:space="0" w:color="auto"/>
            </w:tcBorders>
            <w:vAlign w:val="center"/>
          </w:tcPr>
          <w:p w14:paraId="539E5516" w14:textId="77777777" w:rsidR="006D7E72" w:rsidRPr="003951D0" w:rsidRDefault="006D7E72" w:rsidP="00BC4519">
            <w:pPr>
              <w:pStyle w:val="normln1"/>
              <w:rPr>
                <w:rFonts w:ascii="Times New Roman" w:hAnsi="Times New Roman" w:cs="Times New Roman"/>
                <w:bCs w:val="0"/>
                <w:sz w:val="24"/>
                <w:szCs w:val="24"/>
                <w:lang w:val="en-GB"/>
              </w:rPr>
            </w:pPr>
            <w:r w:rsidRPr="003951D0">
              <w:rPr>
                <w:rFonts w:ascii="Times New Roman" w:hAnsi="Times New Roman" w:cs="Times New Roman"/>
                <w:bCs w:val="0"/>
                <w:sz w:val="24"/>
                <w:szCs w:val="24"/>
                <w:lang w:val="en-GB"/>
              </w:rPr>
              <w:t>RD/13/2019</w:t>
            </w:r>
          </w:p>
        </w:tc>
      </w:tr>
      <w:tr w:rsidR="006D7E72" w14:paraId="0E544186"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vAlign w:val="center"/>
          </w:tcPr>
          <w:p w14:paraId="44A92D83" w14:textId="744F6CDD"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Type:</w:t>
            </w:r>
          </w:p>
        </w:tc>
        <w:tc>
          <w:tcPr>
            <w:tcW w:w="6832" w:type="dxa"/>
            <w:tcBorders>
              <w:top w:val="single" w:sz="4" w:space="0" w:color="auto"/>
              <w:left w:val="single" w:sz="4" w:space="0" w:color="auto"/>
              <w:bottom w:val="single" w:sz="4" w:space="0" w:color="auto"/>
              <w:right w:val="double" w:sz="4" w:space="0" w:color="auto"/>
            </w:tcBorders>
            <w:vAlign w:val="center"/>
          </w:tcPr>
          <w:p w14:paraId="49459AE6" w14:textId="672C304D" w:rsidR="006D7E72" w:rsidRPr="003951D0" w:rsidRDefault="006D7E72"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DEAN’S DECISION</w:t>
            </w:r>
          </w:p>
        </w:tc>
      </w:tr>
      <w:tr w:rsidR="006D7E72" w14:paraId="68449F80" w14:textId="77777777" w:rsidTr="006D7E72">
        <w:trPr>
          <w:trHeight w:val="380"/>
        </w:trPr>
        <w:tc>
          <w:tcPr>
            <w:tcW w:w="2210" w:type="dxa"/>
            <w:tcBorders>
              <w:top w:val="single" w:sz="4" w:space="0" w:color="auto"/>
              <w:left w:val="double" w:sz="4" w:space="0" w:color="auto"/>
              <w:bottom w:val="single" w:sz="4" w:space="0" w:color="auto"/>
              <w:right w:val="single" w:sz="4" w:space="0" w:color="auto"/>
            </w:tcBorders>
          </w:tcPr>
          <w:p w14:paraId="0E377D70" w14:textId="64B85354"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Name:</w:t>
            </w:r>
          </w:p>
        </w:tc>
        <w:tc>
          <w:tcPr>
            <w:tcW w:w="6832" w:type="dxa"/>
            <w:tcBorders>
              <w:top w:val="single" w:sz="4" w:space="0" w:color="auto"/>
              <w:left w:val="single" w:sz="4" w:space="0" w:color="auto"/>
              <w:bottom w:val="single" w:sz="4" w:space="0" w:color="auto"/>
              <w:right w:val="double" w:sz="4" w:space="0" w:color="auto"/>
            </w:tcBorders>
          </w:tcPr>
          <w:p w14:paraId="4839B0E8" w14:textId="6AC284B8" w:rsidR="006D7E72" w:rsidRPr="003951D0" w:rsidRDefault="001468FB" w:rsidP="00BC4519">
            <w:pPr>
              <w:pStyle w:val="Zhlav"/>
              <w:tabs>
                <w:tab w:val="left" w:pos="708"/>
              </w:tabs>
              <w:spacing w:before="120"/>
              <w:rPr>
                <w:rFonts w:ascii="Times New Roman" w:hAnsi="Times New Roman" w:cs="Times New Roman"/>
                <w:b/>
                <w:bCs/>
                <w:lang w:val="en-GB"/>
              </w:rPr>
            </w:pPr>
            <w:r w:rsidRPr="003951D0">
              <w:rPr>
                <w:rFonts w:ascii="Times New Roman" w:hAnsi="Times New Roman" w:cs="Times New Roman"/>
                <w:b/>
                <w:bCs/>
                <w:lang w:val="en-GB"/>
              </w:rPr>
              <w:t xml:space="preserve">Head </w:t>
            </w:r>
            <w:r w:rsidRPr="003951D0">
              <w:rPr>
                <w:rFonts w:ascii="Times New Roman" w:hAnsi="Times New Roman" w:cs="Times New Roman"/>
                <w:b/>
                <w:bCs/>
                <w:lang w:val="en-GB"/>
              </w:rPr>
              <w:t>T</w:t>
            </w:r>
            <w:r w:rsidRPr="003951D0">
              <w:rPr>
                <w:rFonts w:ascii="Times New Roman" w:hAnsi="Times New Roman" w:cs="Times New Roman"/>
                <w:b/>
                <w:bCs/>
                <w:lang w:val="en-GB"/>
              </w:rPr>
              <w:t xml:space="preserve">eachers of the </w:t>
            </w:r>
            <w:r w:rsidRPr="003951D0">
              <w:rPr>
                <w:rFonts w:ascii="Times New Roman" w:hAnsi="Times New Roman" w:cs="Times New Roman"/>
                <w:b/>
                <w:bCs/>
                <w:lang w:val="en-GB"/>
              </w:rPr>
              <w:t>s</w:t>
            </w:r>
            <w:r w:rsidRPr="003951D0">
              <w:rPr>
                <w:rFonts w:ascii="Times New Roman" w:hAnsi="Times New Roman" w:cs="Times New Roman"/>
                <w:b/>
                <w:bCs/>
                <w:lang w:val="en-GB"/>
              </w:rPr>
              <w:t xml:space="preserve">tudy </w:t>
            </w:r>
            <w:r w:rsidRPr="003951D0">
              <w:rPr>
                <w:rFonts w:ascii="Times New Roman" w:hAnsi="Times New Roman" w:cs="Times New Roman"/>
                <w:b/>
                <w:bCs/>
                <w:lang w:val="en-GB"/>
              </w:rPr>
              <w:t>G</w:t>
            </w:r>
            <w:r w:rsidRPr="003951D0">
              <w:rPr>
                <w:rFonts w:ascii="Times New Roman" w:hAnsi="Times New Roman" w:cs="Times New Roman"/>
                <w:b/>
                <w:bCs/>
                <w:lang w:val="en-GB"/>
              </w:rPr>
              <w:t xml:space="preserve">roup / </w:t>
            </w:r>
            <w:r w:rsidRPr="003951D0">
              <w:rPr>
                <w:rFonts w:ascii="Times New Roman" w:hAnsi="Times New Roman" w:cs="Times New Roman"/>
                <w:b/>
                <w:bCs/>
                <w:lang w:val="en-GB"/>
              </w:rPr>
              <w:t>Y</w:t>
            </w:r>
            <w:r w:rsidRPr="003951D0">
              <w:rPr>
                <w:rFonts w:ascii="Times New Roman" w:hAnsi="Times New Roman" w:cs="Times New Roman"/>
                <w:b/>
                <w:bCs/>
                <w:lang w:val="en-GB"/>
              </w:rPr>
              <w:t>ear</w:t>
            </w:r>
          </w:p>
        </w:tc>
      </w:tr>
      <w:tr w:rsidR="006D7E72" w14:paraId="129DFC9E" w14:textId="77777777" w:rsidTr="006D7E72">
        <w:tc>
          <w:tcPr>
            <w:tcW w:w="2210" w:type="dxa"/>
            <w:tcBorders>
              <w:top w:val="single" w:sz="4" w:space="0" w:color="auto"/>
              <w:left w:val="double" w:sz="4" w:space="0" w:color="auto"/>
              <w:bottom w:val="single" w:sz="4" w:space="0" w:color="auto"/>
              <w:right w:val="single" w:sz="4" w:space="0" w:color="auto"/>
            </w:tcBorders>
          </w:tcPr>
          <w:p w14:paraId="5A425D45" w14:textId="674D1807"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Organizational commitment:</w:t>
            </w:r>
          </w:p>
        </w:tc>
        <w:tc>
          <w:tcPr>
            <w:tcW w:w="6832" w:type="dxa"/>
            <w:tcBorders>
              <w:top w:val="single" w:sz="4" w:space="0" w:color="auto"/>
              <w:left w:val="single" w:sz="4" w:space="0" w:color="auto"/>
              <w:bottom w:val="single" w:sz="4" w:space="0" w:color="auto"/>
              <w:right w:val="double" w:sz="4" w:space="0" w:color="auto"/>
            </w:tcBorders>
            <w:vAlign w:val="center"/>
          </w:tcPr>
          <w:p w14:paraId="0341E940" w14:textId="591CFFDB" w:rsidR="006D7E72" w:rsidRPr="003951D0" w:rsidRDefault="006D7E72"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Faculty of Logistics and Crisis Management of the Tomas Bata University in Zlín</w:t>
            </w:r>
          </w:p>
        </w:tc>
      </w:tr>
      <w:tr w:rsidR="006D7E72" w14:paraId="1F929568"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vAlign w:val="center"/>
          </w:tcPr>
          <w:p w14:paraId="25D7A3AD" w14:textId="321EAC96"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Date of publication:</w:t>
            </w:r>
          </w:p>
        </w:tc>
        <w:tc>
          <w:tcPr>
            <w:tcW w:w="6832" w:type="dxa"/>
            <w:tcBorders>
              <w:top w:val="single" w:sz="4" w:space="0" w:color="auto"/>
              <w:left w:val="single" w:sz="4" w:space="0" w:color="auto"/>
              <w:bottom w:val="single" w:sz="4" w:space="0" w:color="auto"/>
              <w:right w:val="double" w:sz="4" w:space="0" w:color="auto"/>
            </w:tcBorders>
            <w:vAlign w:val="center"/>
          </w:tcPr>
          <w:p w14:paraId="22E7541D" w14:textId="77777777" w:rsidR="006D7E72" w:rsidRPr="003951D0" w:rsidRDefault="006D7E72"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9. 8. 2019</w:t>
            </w:r>
          </w:p>
        </w:tc>
      </w:tr>
      <w:tr w:rsidR="006D7E72" w14:paraId="387BF242"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tcPr>
          <w:p w14:paraId="4D9BF9C0" w14:textId="5B0F4531"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Efficiency:</w:t>
            </w:r>
          </w:p>
        </w:tc>
        <w:tc>
          <w:tcPr>
            <w:tcW w:w="6832" w:type="dxa"/>
            <w:tcBorders>
              <w:top w:val="single" w:sz="4" w:space="0" w:color="auto"/>
              <w:left w:val="single" w:sz="4" w:space="0" w:color="auto"/>
              <w:bottom w:val="single" w:sz="4" w:space="0" w:color="auto"/>
              <w:right w:val="double" w:sz="4" w:space="0" w:color="auto"/>
            </w:tcBorders>
            <w:vAlign w:val="center"/>
          </w:tcPr>
          <w:p w14:paraId="59449E5B" w14:textId="77777777" w:rsidR="006D7E72" w:rsidRPr="003951D0" w:rsidRDefault="006D7E72"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1. 9. 2019</w:t>
            </w:r>
          </w:p>
        </w:tc>
      </w:tr>
      <w:tr w:rsidR="006D7E72" w14:paraId="298A93A9"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tcPr>
          <w:p w14:paraId="65B13C19" w14:textId="07B55ECD"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Issued by:</w:t>
            </w:r>
          </w:p>
        </w:tc>
        <w:tc>
          <w:tcPr>
            <w:tcW w:w="6832" w:type="dxa"/>
            <w:tcBorders>
              <w:top w:val="single" w:sz="4" w:space="0" w:color="auto"/>
              <w:left w:val="single" w:sz="4" w:space="0" w:color="auto"/>
              <w:bottom w:val="single" w:sz="4" w:space="0" w:color="auto"/>
              <w:right w:val="double" w:sz="4" w:space="0" w:color="auto"/>
            </w:tcBorders>
            <w:vAlign w:val="center"/>
          </w:tcPr>
          <w:p w14:paraId="3B9A4D0C" w14:textId="3E8502D1" w:rsidR="006D7E72" w:rsidRPr="003951D0" w:rsidRDefault="006D7E72" w:rsidP="00BC4519">
            <w:pPr>
              <w:ind w:hanging="1417"/>
              <w:jc w:val="both"/>
              <w:rPr>
                <w:szCs w:val="24"/>
                <w:lang w:val="en-GB"/>
              </w:rPr>
            </w:pPr>
            <w:r w:rsidRPr="003951D0">
              <w:rPr>
                <w:szCs w:val="24"/>
                <w:lang w:val="en-GB"/>
              </w:rPr>
              <w:t xml:space="preserve">prof. Ing.        </w:t>
            </w:r>
            <w:r w:rsidRPr="003951D0">
              <w:rPr>
                <w:rStyle w:val="normln1Char"/>
                <w:b w:val="0"/>
                <w:sz w:val="24"/>
                <w:szCs w:val="24"/>
                <w:lang w:val="en-GB"/>
              </w:rPr>
              <w:t>doc. Ing. Zuzana Tučková, Ph.D., FL</w:t>
            </w:r>
            <w:r w:rsidR="001468FB" w:rsidRPr="003951D0">
              <w:rPr>
                <w:rStyle w:val="normln1Char"/>
                <w:b w:val="0"/>
                <w:sz w:val="24"/>
                <w:szCs w:val="24"/>
                <w:lang w:val="en-GB"/>
              </w:rPr>
              <w:t>CM Dean</w:t>
            </w:r>
          </w:p>
        </w:tc>
      </w:tr>
      <w:tr w:rsidR="006D7E72" w14:paraId="1162F060" w14:textId="77777777" w:rsidTr="006D7E72">
        <w:trPr>
          <w:trHeight w:hRule="exact" w:val="377"/>
        </w:trPr>
        <w:tc>
          <w:tcPr>
            <w:tcW w:w="2210" w:type="dxa"/>
            <w:tcBorders>
              <w:top w:val="single" w:sz="4" w:space="0" w:color="auto"/>
              <w:left w:val="double" w:sz="4" w:space="0" w:color="auto"/>
              <w:bottom w:val="single" w:sz="4" w:space="0" w:color="auto"/>
              <w:right w:val="single" w:sz="4" w:space="0" w:color="auto"/>
            </w:tcBorders>
          </w:tcPr>
          <w:p w14:paraId="7FB037DB" w14:textId="644A8368"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Edited by:</w:t>
            </w:r>
          </w:p>
        </w:tc>
        <w:tc>
          <w:tcPr>
            <w:tcW w:w="6832" w:type="dxa"/>
            <w:tcBorders>
              <w:top w:val="single" w:sz="4" w:space="0" w:color="auto"/>
              <w:left w:val="single" w:sz="4" w:space="0" w:color="auto"/>
              <w:bottom w:val="single" w:sz="4" w:space="0" w:color="auto"/>
              <w:right w:val="double" w:sz="4" w:space="0" w:color="auto"/>
            </w:tcBorders>
            <w:vAlign w:val="center"/>
          </w:tcPr>
          <w:p w14:paraId="3AE57FC1" w14:textId="31039C84" w:rsidR="006D7E72" w:rsidRPr="003951D0" w:rsidRDefault="001468FB"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Head of the Study Department</w:t>
            </w:r>
          </w:p>
        </w:tc>
      </w:tr>
      <w:tr w:rsidR="006D7E72" w14:paraId="2AB96C71"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tcPr>
          <w:p w14:paraId="03F4DB47" w14:textId="2D19F1F6"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Collaborated with:</w:t>
            </w:r>
          </w:p>
        </w:tc>
        <w:tc>
          <w:tcPr>
            <w:tcW w:w="6832" w:type="dxa"/>
            <w:tcBorders>
              <w:top w:val="single" w:sz="4" w:space="0" w:color="auto"/>
              <w:left w:val="single" w:sz="4" w:space="0" w:color="auto"/>
              <w:bottom w:val="single" w:sz="4" w:space="0" w:color="auto"/>
              <w:right w:val="double" w:sz="4" w:space="0" w:color="auto"/>
            </w:tcBorders>
            <w:vAlign w:val="center"/>
          </w:tcPr>
          <w:p w14:paraId="39C08BA1" w14:textId="56CF3A6A" w:rsidR="006D7E72" w:rsidRPr="003951D0" w:rsidRDefault="00BA5ABD"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Vice Dean for Pedagogical Activities</w:t>
            </w:r>
          </w:p>
        </w:tc>
      </w:tr>
      <w:tr w:rsidR="006D7E72" w14:paraId="4B8C575D"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tcPr>
          <w:p w14:paraId="7FEC7586" w14:textId="52F02526"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Number of pages:</w:t>
            </w:r>
          </w:p>
        </w:tc>
        <w:tc>
          <w:tcPr>
            <w:tcW w:w="6832" w:type="dxa"/>
            <w:tcBorders>
              <w:top w:val="single" w:sz="4" w:space="0" w:color="auto"/>
              <w:left w:val="single" w:sz="4" w:space="0" w:color="auto"/>
              <w:bottom w:val="single" w:sz="4" w:space="0" w:color="auto"/>
              <w:right w:val="double" w:sz="4" w:space="0" w:color="auto"/>
            </w:tcBorders>
            <w:vAlign w:val="center"/>
          </w:tcPr>
          <w:p w14:paraId="6264AEA2" w14:textId="77777777" w:rsidR="006D7E72" w:rsidRPr="003951D0" w:rsidRDefault="006D7E72"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2</w:t>
            </w:r>
          </w:p>
        </w:tc>
      </w:tr>
      <w:tr w:rsidR="006D7E72" w14:paraId="513706E2" w14:textId="77777777" w:rsidTr="006D7E72">
        <w:trPr>
          <w:trHeight w:hRule="exact" w:val="340"/>
        </w:trPr>
        <w:tc>
          <w:tcPr>
            <w:tcW w:w="2210" w:type="dxa"/>
            <w:tcBorders>
              <w:top w:val="single" w:sz="4" w:space="0" w:color="auto"/>
              <w:left w:val="double" w:sz="4" w:space="0" w:color="auto"/>
              <w:bottom w:val="single" w:sz="4" w:space="0" w:color="auto"/>
              <w:right w:val="single" w:sz="4" w:space="0" w:color="auto"/>
            </w:tcBorders>
          </w:tcPr>
          <w:p w14:paraId="6F9D772E" w14:textId="3DFEEB36"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Number of attachments:</w:t>
            </w:r>
          </w:p>
        </w:tc>
        <w:tc>
          <w:tcPr>
            <w:tcW w:w="6832" w:type="dxa"/>
            <w:tcBorders>
              <w:top w:val="single" w:sz="4" w:space="0" w:color="auto"/>
              <w:left w:val="single" w:sz="4" w:space="0" w:color="auto"/>
              <w:bottom w:val="single" w:sz="4" w:space="0" w:color="auto"/>
              <w:right w:val="double" w:sz="4" w:space="0" w:color="auto"/>
            </w:tcBorders>
            <w:vAlign w:val="center"/>
          </w:tcPr>
          <w:p w14:paraId="468E03DD" w14:textId="77777777" w:rsidR="006D7E72" w:rsidRPr="003951D0" w:rsidRDefault="006D7E72"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0</w:t>
            </w:r>
          </w:p>
        </w:tc>
      </w:tr>
      <w:tr w:rsidR="006D7E72" w14:paraId="7CA710EB" w14:textId="77777777" w:rsidTr="006D7E72">
        <w:trPr>
          <w:trHeight w:val="421"/>
        </w:trPr>
        <w:tc>
          <w:tcPr>
            <w:tcW w:w="2210" w:type="dxa"/>
            <w:tcBorders>
              <w:top w:val="single" w:sz="4" w:space="0" w:color="auto"/>
              <w:left w:val="double" w:sz="4" w:space="0" w:color="auto"/>
              <w:bottom w:val="single" w:sz="4" w:space="0" w:color="auto"/>
              <w:right w:val="single" w:sz="4" w:space="0" w:color="auto"/>
            </w:tcBorders>
          </w:tcPr>
          <w:p w14:paraId="5CBA8369" w14:textId="5D2BD75C"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Distributor:</w:t>
            </w:r>
          </w:p>
        </w:tc>
        <w:tc>
          <w:tcPr>
            <w:tcW w:w="6832" w:type="dxa"/>
            <w:tcBorders>
              <w:top w:val="single" w:sz="4" w:space="0" w:color="auto"/>
              <w:left w:val="single" w:sz="4" w:space="0" w:color="auto"/>
              <w:bottom w:val="single" w:sz="4" w:space="0" w:color="auto"/>
              <w:right w:val="double" w:sz="4" w:space="0" w:color="auto"/>
            </w:tcBorders>
            <w:vAlign w:val="center"/>
          </w:tcPr>
          <w:p w14:paraId="46D88D07" w14:textId="3173C3CD" w:rsidR="006D7E72" w:rsidRPr="003951D0" w:rsidRDefault="003951D0" w:rsidP="00BC4519">
            <w:pPr>
              <w:pStyle w:val="normln1"/>
              <w:rPr>
                <w:rFonts w:ascii="Times New Roman" w:hAnsi="Times New Roman" w:cs="Times New Roman"/>
                <w:b w:val="0"/>
                <w:bCs w:val="0"/>
                <w:sz w:val="24"/>
                <w:szCs w:val="24"/>
                <w:lang w:val="en-GB"/>
              </w:rPr>
            </w:pPr>
            <w:r w:rsidRPr="003951D0">
              <w:rPr>
                <w:rFonts w:ascii="Times New Roman" w:hAnsi="Times New Roman" w:cs="Times New Roman"/>
                <w:b w:val="0"/>
                <w:bCs w:val="0"/>
                <w:sz w:val="24"/>
                <w:szCs w:val="24"/>
                <w:lang w:val="en-GB"/>
              </w:rPr>
              <w:t>Directors of Institutes, Head Teachers</w:t>
            </w:r>
          </w:p>
        </w:tc>
      </w:tr>
      <w:tr w:rsidR="006D7E72" w14:paraId="4F35D140" w14:textId="77777777" w:rsidTr="006D7E72">
        <w:trPr>
          <w:trHeight w:val="776"/>
        </w:trPr>
        <w:tc>
          <w:tcPr>
            <w:tcW w:w="2210" w:type="dxa"/>
            <w:tcBorders>
              <w:top w:val="single" w:sz="4" w:space="0" w:color="auto"/>
              <w:left w:val="double" w:sz="4" w:space="0" w:color="auto"/>
              <w:bottom w:val="double" w:sz="4" w:space="0" w:color="auto"/>
              <w:right w:val="single" w:sz="4" w:space="0" w:color="auto"/>
            </w:tcBorders>
          </w:tcPr>
          <w:p w14:paraId="741B9006" w14:textId="44F08F84" w:rsidR="006D7E72" w:rsidRPr="003951D0" w:rsidRDefault="006D7E72" w:rsidP="00BC4519">
            <w:pPr>
              <w:pStyle w:val="normln1"/>
              <w:jc w:val="left"/>
              <w:rPr>
                <w:rFonts w:ascii="Times New Roman" w:hAnsi="Times New Roman" w:cs="Times New Roman"/>
                <w:b w:val="0"/>
                <w:bCs w:val="0"/>
                <w:sz w:val="24"/>
                <w:szCs w:val="24"/>
                <w:lang w:val="en-GB"/>
              </w:rPr>
            </w:pPr>
            <w:r w:rsidRPr="003951D0">
              <w:rPr>
                <w:rFonts w:ascii="Times New Roman" w:hAnsi="Times New Roman" w:cs="Times New Roman"/>
                <w:sz w:val="24"/>
                <w:szCs w:val="24"/>
                <w:lang w:val="en-GB"/>
              </w:rPr>
              <w:t>Signature of authorized person:</w:t>
            </w:r>
          </w:p>
        </w:tc>
        <w:tc>
          <w:tcPr>
            <w:tcW w:w="6832" w:type="dxa"/>
            <w:tcBorders>
              <w:top w:val="single" w:sz="4" w:space="0" w:color="auto"/>
              <w:left w:val="single" w:sz="4" w:space="0" w:color="auto"/>
              <w:bottom w:val="double" w:sz="4" w:space="0" w:color="auto"/>
              <w:right w:val="double" w:sz="4" w:space="0" w:color="auto"/>
            </w:tcBorders>
            <w:vAlign w:val="center"/>
          </w:tcPr>
          <w:p w14:paraId="483FB5FF" w14:textId="174031DF" w:rsidR="006D7E72" w:rsidRPr="003951D0" w:rsidRDefault="006D7E72" w:rsidP="00BC4519">
            <w:pPr>
              <w:pStyle w:val="normln1"/>
              <w:rPr>
                <w:rFonts w:ascii="Times New Roman" w:hAnsi="Times New Roman" w:cs="Times New Roman"/>
                <w:b w:val="0"/>
                <w:bCs w:val="0"/>
                <w:sz w:val="24"/>
                <w:szCs w:val="24"/>
                <w:lang w:val="en-GB"/>
              </w:rPr>
            </w:pPr>
            <w:r w:rsidRPr="003951D0">
              <w:rPr>
                <w:rStyle w:val="normln1Char"/>
                <w:rFonts w:ascii="Times New Roman" w:hAnsi="Times New Roman" w:cs="Times New Roman"/>
                <w:b/>
                <w:sz w:val="24"/>
                <w:szCs w:val="24"/>
                <w:lang w:val="en-GB"/>
              </w:rPr>
              <w:t xml:space="preserve">doc. Ing. Zuzana Tučková, Ph.D., </w:t>
            </w:r>
            <w:r w:rsidRPr="003951D0">
              <w:rPr>
                <w:rStyle w:val="normln1Char"/>
                <w:rFonts w:ascii="Times New Roman" w:hAnsi="Times New Roman" w:cs="Times New Roman"/>
                <w:b/>
                <w:sz w:val="24"/>
                <w:szCs w:val="24"/>
                <w:lang w:val="en-GB"/>
              </w:rPr>
              <w:t>o</w:t>
            </w:r>
            <w:r w:rsidRPr="003951D0">
              <w:rPr>
                <w:rStyle w:val="normln1Char"/>
                <w:rFonts w:ascii="Times New Roman" w:hAnsi="Times New Roman" w:cs="Times New Roman"/>
                <w:b/>
                <w:sz w:val="24"/>
                <w:szCs w:val="24"/>
                <w:lang w:val="en-GB"/>
              </w:rPr>
              <w:t>.</w:t>
            </w:r>
            <w:r w:rsidRPr="003951D0">
              <w:rPr>
                <w:rStyle w:val="normln1Char"/>
                <w:rFonts w:ascii="Times New Roman" w:hAnsi="Times New Roman" w:cs="Times New Roman"/>
                <w:b/>
                <w:sz w:val="24"/>
                <w:szCs w:val="24"/>
                <w:lang w:val="en-GB"/>
              </w:rPr>
              <w:t>h</w:t>
            </w:r>
            <w:r w:rsidRPr="003951D0">
              <w:rPr>
                <w:rStyle w:val="normln1Char"/>
                <w:rFonts w:ascii="Times New Roman" w:hAnsi="Times New Roman" w:cs="Times New Roman"/>
                <w:b/>
                <w:sz w:val="24"/>
                <w:szCs w:val="24"/>
                <w:lang w:val="en-GB"/>
              </w:rPr>
              <w:t>.</w:t>
            </w:r>
          </w:p>
        </w:tc>
      </w:tr>
    </w:tbl>
    <w:p w14:paraId="5EA96761" w14:textId="77777777" w:rsidR="004A32FD" w:rsidRDefault="004A32FD" w:rsidP="004A32FD">
      <w:pPr>
        <w:tabs>
          <w:tab w:val="left" w:pos="426"/>
        </w:tabs>
        <w:jc w:val="both"/>
        <w:rPr>
          <w:b/>
          <w:szCs w:val="24"/>
        </w:rPr>
      </w:pPr>
    </w:p>
    <w:p w14:paraId="23EFD9FE" w14:textId="77777777" w:rsidR="004A32FD" w:rsidRDefault="004A32FD" w:rsidP="004A32FD">
      <w:pPr>
        <w:tabs>
          <w:tab w:val="left" w:pos="426"/>
        </w:tabs>
        <w:jc w:val="both"/>
        <w:rPr>
          <w:b/>
          <w:szCs w:val="24"/>
        </w:rPr>
      </w:pPr>
    </w:p>
    <w:p w14:paraId="438AB260" w14:textId="4F5C71BB" w:rsidR="004A32FD" w:rsidRPr="00485B7F" w:rsidRDefault="00B60641" w:rsidP="004A32FD">
      <w:pPr>
        <w:tabs>
          <w:tab w:val="left" w:pos="426"/>
        </w:tabs>
        <w:jc w:val="center"/>
        <w:rPr>
          <w:b/>
          <w:szCs w:val="24"/>
          <w:lang w:val="en-GB"/>
        </w:rPr>
      </w:pPr>
      <w:r w:rsidRPr="00485B7F">
        <w:rPr>
          <w:b/>
          <w:szCs w:val="24"/>
          <w:lang w:val="en-GB"/>
        </w:rPr>
        <w:t>INTRODUCTION</w:t>
      </w:r>
    </w:p>
    <w:p w14:paraId="3AE9E331" w14:textId="2562A382" w:rsidR="004A32FD" w:rsidRPr="00485B7F" w:rsidRDefault="00F721AD" w:rsidP="004A32FD">
      <w:pPr>
        <w:pStyle w:val="Odstavecseseznamem"/>
        <w:spacing w:before="83" w:after="0"/>
        <w:ind w:left="0" w:firstLine="0"/>
        <w:contextualSpacing/>
        <w:jc w:val="both"/>
        <w:rPr>
          <w:caps/>
          <w:sz w:val="24"/>
          <w:szCs w:val="24"/>
          <w:lang w:val="en-GB"/>
        </w:rPr>
      </w:pPr>
      <w:r w:rsidRPr="00485B7F">
        <w:rPr>
          <w:sz w:val="24"/>
          <w:szCs w:val="24"/>
          <w:lang w:val="en-GB"/>
        </w:rPr>
        <w:t xml:space="preserve">This decision of the </w:t>
      </w:r>
      <w:r w:rsidRPr="00485B7F">
        <w:rPr>
          <w:sz w:val="24"/>
          <w:szCs w:val="24"/>
          <w:lang w:val="en-GB"/>
        </w:rPr>
        <w:t>D</w:t>
      </w:r>
      <w:r w:rsidRPr="00485B7F">
        <w:rPr>
          <w:sz w:val="24"/>
          <w:szCs w:val="24"/>
          <w:lang w:val="en-GB"/>
        </w:rPr>
        <w:t>ean defines the appointment of the head teachers of the study group / grade (hereinafter referred to as the "head teacher"), who will ensure information and communication of students with the guarantor of the study program, the director of the institute and the faculty management.</w:t>
      </w:r>
      <w:r w:rsidR="004A32FD" w:rsidRPr="00485B7F">
        <w:rPr>
          <w:sz w:val="24"/>
          <w:szCs w:val="24"/>
          <w:lang w:val="en-GB"/>
        </w:rPr>
        <w:t xml:space="preserve"> </w:t>
      </w:r>
    </w:p>
    <w:p w14:paraId="39BDB23B" w14:textId="77777777" w:rsidR="004A32FD" w:rsidRPr="00485B7F" w:rsidRDefault="004A32FD" w:rsidP="004A32FD">
      <w:pPr>
        <w:tabs>
          <w:tab w:val="left" w:pos="426"/>
        </w:tabs>
        <w:rPr>
          <w:b/>
          <w:szCs w:val="24"/>
          <w:lang w:val="en-GB"/>
        </w:rPr>
      </w:pPr>
    </w:p>
    <w:p w14:paraId="3D6B5CB2" w14:textId="3B770DB0" w:rsidR="004A32FD" w:rsidRPr="00485B7F" w:rsidRDefault="00F721AD" w:rsidP="004A32FD">
      <w:pPr>
        <w:jc w:val="center"/>
        <w:rPr>
          <w:b/>
          <w:caps/>
          <w:szCs w:val="24"/>
          <w:lang w:val="en-GB"/>
        </w:rPr>
      </w:pPr>
      <w:r w:rsidRPr="00485B7F">
        <w:rPr>
          <w:b/>
          <w:caps/>
          <w:szCs w:val="24"/>
          <w:lang w:val="en-GB"/>
        </w:rPr>
        <w:t>Article</w:t>
      </w:r>
      <w:r w:rsidR="004A32FD" w:rsidRPr="00485B7F">
        <w:rPr>
          <w:b/>
          <w:caps/>
          <w:szCs w:val="24"/>
          <w:lang w:val="en-GB"/>
        </w:rPr>
        <w:t xml:space="preserve"> 1</w:t>
      </w:r>
    </w:p>
    <w:p w14:paraId="5ACFFBA5" w14:textId="0066F21F" w:rsidR="004A32FD" w:rsidRPr="00485B7F" w:rsidRDefault="004311A6" w:rsidP="004A32FD">
      <w:pPr>
        <w:jc w:val="center"/>
        <w:rPr>
          <w:b/>
          <w:szCs w:val="24"/>
          <w:lang w:val="en-GB"/>
        </w:rPr>
      </w:pPr>
      <w:r w:rsidRPr="00485B7F">
        <w:rPr>
          <w:b/>
          <w:szCs w:val="24"/>
          <w:lang w:val="en-GB"/>
        </w:rPr>
        <w:t xml:space="preserve">General </w:t>
      </w:r>
      <w:r w:rsidRPr="00485B7F">
        <w:rPr>
          <w:b/>
          <w:szCs w:val="24"/>
          <w:lang w:val="en-GB"/>
        </w:rPr>
        <w:t>P</w:t>
      </w:r>
      <w:r w:rsidRPr="00485B7F">
        <w:rPr>
          <w:b/>
          <w:szCs w:val="24"/>
          <w:lang w:val="en-GB"/>
        </w:rPr>
        <w:t>rinciples</w:t>
      </w:r>
    </w:p>
    <w:p w14:paraId="0E45015A" w14:textId="1C59948E" w:rsidR="00065996" w:rsidRPr="00485B7F" w:rsidRDefault="00065996" w:rsidP="00065996">
      <w:pPr>
        <w:pStyle w:val="Odstavecseseznamem"/>
        <w:numPr>
          <w:ilvl w:val="0"/>
          <w:numId w:val="1"/>
        </w:numPr>
        <w:spacing w:before="83"/>
        <w:contextualSpacing/>
        <w:jc w:val="both"/>
        <w:rPr>
          <w:sz w:val="24"/>
          <w:szCs w:val="24"/>
          <w:lang w:val="en-GB"/>
        </w:rPr>
      </w:pPr>
      <w:r w:rsidRPr="00485B7F">
        <w:rPr>
          <w:sz w:val="24"/>
          <w:szCs w:val="24"/>
          <w:lang w:val="en-GB"/>
        </w:rPr>
        <w:t>The head teacher is appointed by the dean of the faculty on the proposal of the director of the relevant institute. For a specific study program, year and form of study, one academic staff member is proposed at the Faculty of Logistics and Crisis Management (hereinafter referred to as "FLCM"). In the case of specializations in the follow-up master's study program, the position of head teacher is held by the guarantor of the specialization for the 1st and 2nd year and both forms of study. The appointment is valid for one academic year.</w:t>
      </w:r>
    </w:p>
    <w:p w14:paraId="085194AB" w14:textId="77777777" w:rsidR="00065996" w:rsidRPr="00485B7F" w:rsidRDefault="00065996" w:rsidP="00065996">
      <w:pPr>
        <w:pStyle w:val="Odstavecseseznamem"/>
        <w:spacing w:before="83"/>
        <w:ind w:left="360" w:firstLine="0"/>
        <w:contextualSpacing/>
        <w:jc w:val="both"/>
        <w:rPr>
          <w:sz w:val="24"/>
          <w:szCs w:val="24"/>
          <w:lang w:val="en-GB"/>
        </w:rPr>
      </w:pPr>
    </w:p>
    <w:p w14:paraId="3CC115B9" w14:textId="65E20CA0" w:rsidR="00065996" w:rsidRPr="00485B7F" w:rsidRDefault="00065996" w:rsidP="00065996">
      <w:pPr>
        <w:pStyle w:val="Odstavecseseznamem"/>
        <w:numPr>
          <w:ilvl w:val="0"/>
          <w:numId w:val="1"/>
        </w:numPr>
        <w:spacing w:before="83"/>
        <w:contextualSpacing/>
        <w:jc w:val="both"/>
        <w:rPr>
          <w:sz w:val="24"/>
          <w:szCs w:val="24"/>
          <w:lang w:val="en-GB"/>
        </w:rPr>
      </w:pPr>
      <w:r w:rsidRPr="00485B7F">
        <w:rPr>
          <w:sz w:val="24"/>
          <w:szCs w:val="24"/>
          <w:lang w:val="en-GB"/>
        </w:rPr>
        <w:t>In their activities, the head teachers focus mainly on timely provision of current information about Tomas Bata University in Zlín (hereinafter referred to as "TBU") and their faculties, with an emphasis on FLCM, the university library, student scientific and professional activities, studies as such and opportunities to participate in various activities organized by the university, faculty, city or student organizations.</w:t>
      </w:r>
    </w:p>
    <w:p w14:paraId="566B3D7C" w14:textId="77777777" w:rsidR="00065996" w:rsidRPr="00485B7F" w:rsidRDefault="00065996" w:rsidP="00065996">
      <w:pPr>
        <w:pStyle w:val="Odstavecseseznamem"/>
        <w:spacing w:before="83"/>
        <w:ind w:left="360" w:firstLine="0"/>
        <w:contextualSpacing/>
        <w:jc w:val="both"/>
        <w:rPr>
          <w:sz w:val="24"/>
          <w:szCs w:val="24"/>
          <w:lang w:val="en-GB"/>
        </w:rPr>
      </w:pPr>
    </w:p>
    <w:p w14:paraId="6B22B1BC" w14:textId="2134D0B7" w:rsidR="00065996" w:rsidRPr="00485B7F" w:rsidRDefault="00065996" w:rsidP="00065996">
      <w:pPr>
        <w:pStyle w:val="Odstavecseseznamem"/>
        <w:numPr>
          <w:ilvl w:val="0"/>
          <w:numId w:val="1"/>
        </w:numPr>
        <w:spacing w:before="83"/>
        <w:contextualSpacing/>
        <w:jc w:val="both"/>
        <w:rPr>
          <w:sz w:val="24"/>
          <w:szCs w:val="24"/>
          <w:lang w:val="en-GB"/>
        </w:rPr>
      </w:pPr>
      <w:r w:rsidRPr="00485B7F">
        <w:rPr>
          <w:sz w:val="24"/>
          <w:szCs w:val="24"/>
          <w:lang w:val="en-GB"/>
        </w:rPr>
        <w:t>Head teachers are subordinate to the director of the institute, whom they inform continuously (usually once a month) about the demands or problems of the students.</w:t>
      </w:r>
    </w:p>
    <w:p w14:paraId="2D096485" w14:textId="77777777" w:rsidR="00065996" w:rsidRPr="00485B7F" w:rsidRDefault="00065996" w:rsidP="00065996">
      <w:pPr>
        <w:pStyle w:val="Odstavecseseznamem"/>
        <w:spacing w:before="83"/>
        <w:ind w:left="360" w:firstLine="0"/>
        <w:contextualSpacing/>
        <w:jc w:val="both"/>
        <w:rPr>
          <w:sz w:val="24"/>
          <w:szCs w:val="24"/>
          <w:lang w:val="en-GB"/>
        </w:rPr>
      </w:pPr>
    </w:p>
    <w:p w14:paraId="5C621975" w14:textId="0D9D5FA8" w:rsidR="00065996" w:rsidRPr="00485B7F" w:rsidRDefault="00065996" w:rsidP="00065996">
      <w:pPr>
        <w:pStyle w:val="Odstavecseseznamem"/>
        <w:numPr>
          <w:ilvl w:val="0"/>
          <w:numId w:val="1"/>
        </w:numPr>
        <w:spacing w:before="83"/>
        <w:contextualSpacing/>
        <w:jc w:val="both"/>
        <w:rPr>
          <w:sz w:val="24"/>
          <w:szCs w:val="24"/>
          <w:lang w:val="en-GB"/>
        </w:rPr>
      </w:pPr>
      <w:r w:rsidRPr="00485B7F">
        <w:rPr>
          <w:sz w:val="24"/>
          <w:szCs w:val="24"/>
          <w:lang w:val="en-GB"/>
        </w:rPr>
        <w:lastRenderedPageBreak/>
        <w:t>Head teachers convene meetings with students, usually twice per semester. At the request of the director of the institute, the vice dean for pedagogical activities, the dean of the faculty or students, the meeting is convened by the head teacher, no later than one week after receiving the request.</w:t>
      </w:r>
    </w:p>
    <w:p w14:paraId="51F3E5DE" w14:textId="0991EB5E" w:rsidR="004A32FD" w:rsidRPr="00485B7F" w:rsidRDefault="00065996" w:rsidP="00065996">
      <w:pPr>
        <w:pStyle w:val="Odstavecseseznamem"/>
        <w:numPr>
          <w:ilvl w:val="0"/>
          <w:numId w:val="1"/>
        </w:numPr>
        <w:spacing w:before="83" w:after="0"/>
        <w:contextualSpacing/>
        <w:jc w:val="both"/>
        <w:rPr>
          <w:caps/>
          <w:sz w:val="24"/>
          <w:szCs w:val="24"/>
          <w:lang w:val="en-GB"/>
        </w:rPr>
      </w:pPr>
      <w:r w:rsidRPr="00485B7F">
        <w:rPr>
          <w:sz w:val="24"/>
          <w:szCs w:val="24"/>
          <w:lang w:val="en-GB"/>
        </w:rPr>
        <w:t>Head teachers can report work points for this activity in the "Work Capacity Record" according to the rector's directive in force - Evaluation and management of the development of pedagogical, creative, management and other activities of TBU academic and scientific staff, or FLCM internal standards supplementing the rector's directive.</w:t>
      </w:r>
    </w:p>
    <w:p w14:paraId="14C667B1" w14:textId="77777777" w:rsidR="004A32FD" w:rsidRPr="00485B7F" w:rsidRDefault="004A32FD" w:rsidP="004A32FD">
      <w:pPr>
        <w:pStyle w:val="Odstavecseseznamem"/>
        <w:ind w:firstLine="0"/>
        <w:rPr>
          <w:caps/>
          <w:sz w:val="24"/>
          <w:szCs w:val="24"/>
          <w:lang w:val="en-GB"/>
        </w:rPr>
      </w:pPr>
    </w:p>
    <w:p w14:paraId="1A84B650" w14:textId="14F521AE" w:rsidR="004A32FD" w:rsidRPr="00485B7F" w:rsidRDefault="00B60641" w:rsidP="004A32FD">
      <w:pPr>
        <w:tabs>
          <w:tab w:val="left" w:pos="426"/>
        </w:tabs>
        <w:jc w:val="center"/>
        <w:rPr>
          <w:b/>
          <w:caps/>
          <w:szCs w:val="24"/>
          <w:lang w:val="en-GB"/>
        </w:rPr>
      </w:pPr>
      <w:r w:rsidRPr="00485B7F">
        <w:rPr>
          <w:b/>
          <w:caps/>
          <w:szCs w:val="24"/>
          <w:lang w:val="en-GB"/>
        </w:rPr>
        <w:t>FINAL PROVISIONS</w:t>
      </w:r>
    </w:p>
    <w:p w14:paraId="7052D9B3" w14:textId="6EA17D34" w:rsidR="004A32FD" w:rsidRPr="00485B7F" w:rsidRDefault="00485B7F" w:rsidP="004A32FD">
      <w:pPr>
        <w:pStyle w:val="Odstavecseseznamem"/>
        <w:spacing w:before="240"/>
        <w:ind w:left="0" w:firstLine="0"/>
        <w:jc w:val="both"/>
        <w:rPr>
          <w:caps/>
          <w:sz w:val="24"/>
          <w:szCs w:val="24"/>
          <w:lang w:val="en-GB"/>
        </w:rPr>
      </w:pPr>
      <w:r w:rsidRPr="00485B7F">
        <w:rPr>
          <w:sz w:val="24"/>
          <w:szCs w:val="24"/>
          <w:lang w:val="en-GB"/>
        </w:rPr>
        <w:t>This decision of the dean replaces the decision of the dean RD/10/2016 - Head teachers of the year.</w:t>
      </w:r>
    </w:p>
    <w:p w14:paraId="3576A289" w14:textId="77777777" w:rsidR="004A32FD" w:rsidRPr="00485B7F" w:rsidRDefault="004A32FD" w:rsidP="004A32FD">
      <w:pPr>
        <w:pStyle w:val="Odstavecseseznamem"/>
        <w:ind w:firstLine="0"/>
        <w:rPr>
          <w:sz w:val="24"/>
          <w:szCs w:val="24"/>
          <w:lang w:val="en-GB"/>
        </w:rPr>
      </w:pPr>
    </w:p>
    <w:p w14:paraId="23463B03" w14:textId="77777777" w:rsidR="004A32FD" w:rsidRDefault="004A32FD" w:rsidP="004A32FD">
      <w:pPr>
        <w:pStyle w:val="Odstavecseseznamem"/>
        <w:ind w:firstLine="0"/>
        <w:rPr>
          <w:sz w:val="24"/>
          <w:szCs w:val="24"/>
        </w:rPr>
      </w:pPr>
    </w:p>
    <w:p w14:paraId="5852A261" w14:textId="77777777" w:rsidR="004A32FD" w:rsidRDefault="004A32FD" w:rsidP="004A32FD">
      <w:pPr>
        <w:pStyle w:val="Odstavecseseznamem"/>
        <w:ind w:firstLine="0"/>
        <w:rPr>
          <w:sz w:val="24"/>
          <w:szCs w:val="24"/>
        </w:rPr>
      </w:pPr>
    </w:p>
    <w:p w14:paraId="752C373B" w14:textId="77777777" w:rsidR="00DD26F3" w:rsidRDefault="00DD26F3"/>
    <w:sectPr w:rsidR="00DD26F3" w:rsidSect="004A32FD">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C89D" w14:textId="77777777" w:rsidR="003D300E" w:rsidRDefault="003D300E" w:rsidP="003951D0">
      <w:r>
        <w:separator/>
      </w:r>
    </w:p>
  </w:endnote>
  <w:endnote w:type="continuationSeparator" w:id="0">
    <w:p w14:paraId="4346A78F" w14:textId="77777777" w:rsidR="003D300E" w:rsidRDefault="003D300E" w:rsidP="0039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BDB2" w14:textId="77777777" w:rsidR="00000000" w:rsidRDefault="00000000" w:rsidP="00880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B31700"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D3EA" w14:textId="77777777" w:rsidR="00000000" w:rsidRDefault="00000000" w:rsidP="00880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6A27ED1"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1D52D" w14:textId="77777777" w:rsidR="003D300E" w:rsidRDefault="003D300E" w:rsidP="003951D0">
      <w:r>
        <w:separator/>
      </w:r>
    </w:p>
  </w:footnote>
  <w:footnote w:type="continuationSeparator" w:id="0">
    <w:p w14:paraId="6E982E89" w14:textId="77777777" w:rsidR="003D300E" w:rsidRDefault="003D300E" w:rsidP="0039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20249" w14:textId="77777777" w:rsidR="00000000" w:rsidRDefault="004A32FD" w:rsidP="00954C86">
    <w:pPr>
      <w:pStyle w:val="Zhlav"/>
      <w:spacing w:after="120"/>
      <w:rPr>
        <w:i/>
        <w:sz w:val="20"/>
      </w:rPr>
    </w:pPr>
    <w:r w:rsidRPr="00B7037C">
      <w:rPr>
        <w:b/>
        <w:noProof/>
        <w:sz w:val="72"/>
        <w:szCs w:val="72"/>
      </w:rPr>
      <w:drawing>
        <wp:inline distT="0" distB="0" distL="0" distR="0" wp14:anchorId="056F0957" wp14:editId="0FC60023">
          <wp:extent cx="1828800" cy="322580"/>
          <wp:effectExtent l="0" t="0" r="0" b="1270"/>
          <wp:docPr id="20508970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040"/>
                  <a:stretch>
                    <a:fillRect/>
                  </a:stretch>
                </pic:blipFill>
                <pic:spPr bwMode="auto">
                  <a:xfrm>
                    <a:off x="0" y="0"/>
                    <a:ext cx="1828800" cy="322580"/>
                  </a:xfrm>
                  <a:prstGeom prst="rect">
                    <a:avLst/>
                  </a:prstGeom>
                  <a:noFill/>
                  <a:ln>
                    <a:noFill/>
                  </a:ln>
                </pic:spPr>
              </pic:pic>
            </a:graphicData>
          </a:graphic>
        </wp:inline>
      </w:drawing>
    </w:r>
  </w:p>
  <w:p w14:paraId="59AEB24A" w14:textId="787A4EE5" w:rsidR="00000000" w:rsidRDefault="004A32FD" w:rsidP="00954C86">
    <w:pPr>
      <w:pStyle w:val="Zhlav"/>
      <w:spacing w:after="120"/>
      <w:jc w:val="center"/>
      <w:rPr>
        <w:i/>
        <w:sz w:val="20"/>
      </w:rPr>
    </w:pPr>
    <w:r>
      <w:rPr>
        <w:i/>
        <w:noProof/>
        <w:sz w:val="20"/>
      </w:rPr>
      <mc:AlternateContent>
        <mc:Choice Requires="wps">
          <w:drawing>
            <wp:anchor distT="0" distB="0" distL="114300" distR="114300" simplePos="0" relativeHeight="251659264" behindDoc="0" locked="0" layoutInCell="1" allowOverlap="1" wp14:anchorId="39FFF4AA" wp14:editId="2B59EF35">
              <wp:simplePos x="0" y="0"/>
              <wp:positionH relativeFrom="column">
                <wp:posOffset>22860</wp:posOffset>
              </wp:positionH>
              <wp:positionV relativeFrom="paragraph">
                <wp:posOffset>342900</wp:posOffset>
              </wp:positionV>
              <wp:extent cx="5715000" cy="0"/>
              <wp:effectExtent l="13335" t="9525" r="5715" b="9525"/>
              <wp:wrapNone/>
              <wp:docPr id="63738975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BF9F1"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5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FJYbdoAAAAHAQAADwAAAGRycy9kb3ducmV2LnhtbEyPwU7D&#10;MBBE70j8g7VIXCpq00IFIU6FgNy4tIC4buMliYjXaey2ga9nKw5w3JnR7Jt8OfpO7WmIbWALl1MD&#10;irgKruXawutLeXEDKiZkh11gsvBFEZbF6UmOmQsHXtF+nWolJRwztNCk1Gdax6ohj3EaemLxPsLg&#10;Mck51NoNeJBy3+mZMQvtsWX50GBPDw1Vn+udtxDLN9qW35NqYt7ndaDZ9vH5Ca09Pxvv70AlGtNf&#10;GI74gg6FMG3Cjl1UnYX5QoIWrq9kkdi35ihsfgVd5Po/f/EDAAD//wMAUEsBAi0AFAAGAAgAAAAh&#10;ALaDOJL+AAAA4QEAABMAAAAAAAAAAAAAAAAAAAAAAFtDb250ZW50X1R5cGVzXS54bWxQSwECLQAU&#10;AAYACAAAACEAOP0h/9YAAACUAQAACwAAAAAAAAAAAAAAAAAvAQAAX3JlbHMvLnJlbHNQSwECLQAU&#10;AAYACAAAACEARiCHeq8BAABIAwAADgAAAAAAAAAAAAAAAAAuAgAAZHJzL2Uyb0RvYy54bWxQSwEC&#10;LQAUAAYACAAAACEARFJYbdoAAAAHAQAADwAAAAAAAAAAAAAAAAAJBAAAZHJzL2Rvd25yZXYueG1s&#10;UEsFBgAAAAAEAAQA8wAAABAFAAAAAA==&#10;"/>
          </w:pict>
        </mc:Fallback>
      </mc:AlternateContent>
    </w:r>
    <w:r w:rsidR="003951D0" w:rsidRPr="003951D0">
      <w:rPr>
        <w:rFonts w:ascii="Times New Roman" w:hAnsi="Times New Roman" w:cs="Times New Roman"/>
        <w:i/>
        <w:iCs/>
        <w:sz w:val="20"/>
        <w:szCs w:val="20"/>
        <w:lang w:val="en-GB"/>
      </w:rPr>
      <w:t xml:space="preserve"> </w:t>
    </w:r>
    <w:r w:rsidR="003951D0" w:rsidRPr="00847022">
      <w:rPr>
        <w:rFonts w:ascii="Times New Roman" w:hAnsi="Times New Roman" w:cs="Times New Roman"/>
        <w:i/>
        <w:iCs/>
        <w:sz w:val="20"/>
        <w:szCs w:val="20"/>
        <w:lang w:val="en-GB"/>
      </w:rPr>
      <w:t>Internal Standards of the Faculty of Logistics and Crisis Management of the Tomas Bata University in Zlín</w:t>
    </w:r>
  </w:p>
  <w:p w14:paraId="1DFA9FD2"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97F97"/>
    <w:multiLevelType w:val="hybridMultilevel"/>
    <w:tmpl w:val="55FCFC00"/>
    <w:lvl w:ilvl="0" w:tplc="1E3C37E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276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FD"/>
    <w:rsid w:val="00065996"/>
    <w:rsid w:val="001468FB"/>
    <w:rsid w:val="00326555"/>
    <w:rsid w:val="003951D0"/>
    <w:rsid w:val="003D300E"/>
    <w:rsid w:val="004311A6"/>
    <w:rsid w:val="00485B7F"/>
    <w:rsid w:val="004A32FD"/>
    <w:rsid w:val="006D7E72"/>
    <w:rsid w:val="00A25694"/>
    <w:rsid w:val="00B064B1"/>
    <w:rsid w:val="00B2587C"/>
    <w:rsid w:val="00B60641"/>
    <w:rsid w:val="00BA5ABD"/>
    <w:rsid w:val="00BC4519"/>
    <w:rsid w:val="00DB4D6D"/>
    <w:rsid w:val="00DD26F3"/>
    <w:rsid w:val="00E6107F"/>
    <w:rsid w:val="00F72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682E1"/>
  <w15:chartTrackingRefBased/>
  <w15:docId w15:val="{B27E889D-6D13-4FC1-A670-A199FC9A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2FD"/>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locked/>
    <w:rsid w:val="004A32FD"/>
    <w:rPr>
      <w:sz w:val="24"/>
      <w:szCs w:val="24"/>
      <w:lang w:eastAsia="cs-CZ"/>
    </w:rPr>
  </w:style>
  <w:style w:type="paragraph" w:styleId="Zhlav">
    <w:name w:val="header"/>
    <w:basedOn w:val="Normln"/>
    <w:link w:val="ZhlavChar"/>
    <w:rsid w:val="004A32FD"/>
    <w:pPr>
      <w:tabs>
        <w:tab w:val="center" w:pos="4536"/>
        <w:tab w:val="right" w:pos="9072"/>
      </w:tabs>
      <w:overflowPunct/>
      <w:autoSpaceDE/>
      <w:autoSpaceDN/>
      <w:adjustRightInd/>
    </w:pPr>
    <w:rPr>
      <w:rFonts w:asciiTheme="minorHAnsi" w:eastAsiaTheme="minorHAnsi" w:hAnsiTheme="minorHAnsi" w:cstheme="minorBidi"/>
      <w:kern w:val="2"/>
      <w:szCs w:val="24"/>
      <w14:ligatures w14:val="standardContextual"/>
    </w:rPr>
  </w:style>
  <w:style w:type="character" w:customStyle="1" w:styleId="ZhlavChar1">
    <w:name w:val="Záhlaví Char1"/>
    <w:basedOn w:val="Standardnpsmoodstavce"/>
    <w:uiPriority w:val="99"/>
    <w:semiHidden/>
    <w:rsid w:val="004A32FD"/>
    <w:rPr>
      <w:rFonts w:ascii="Times New Roman" w:eastAsia="Times New Roman" w:hAnsi="Times New Roman" w:cs="Times New Roman"/>
      <w:kern w:val="0"/>
      <w:sz w:val="24"/>
      <w:szCs w:val="20"/>
      <w:lang w:eastAsia="cs-CZ"/>
      <w14:ligatures w14:val="none"/>
    </w:rPr>
  </w:style>
  <w:style w:type="character" w:customStyle="1" w:styleId="normln1Char">
    <w:name w:val="normln1 Char"/>
    <w:link w:val="normln1"/>
    <w:locked/>
    <w:rsid w:val="004A32FD"/>
    <w:rPr>
      <w:b/>
      <w:bCs/>
      <w:sz w:val="18"/>
      <w:szCs w:val="18"/>
      <w:lang w:eastAsia="cs-CZ"/>
    </w:rPr>
  </w:style>
  <w:style w:type="paragraph" w:customStyle="1" w:styleId="normln1">
    <w:name w:val="normln1"/>
    <w:basedOn w:val="Normln"/>
    <w:link w:val="normln1Char"/>
    <w:rsid w:val="004A32FD"/>
    <w:pPr>
      <w:overflowPunct/>
      <w:autoSpaceDE/>
      <w:autoSpaceDN/>
      <w:adjustRightInd/>
      <w:jc w:val="both"/>
    </w:pPr>
    <w:rPr>
      <w:rFonts w:asciiTheme="minorHAnsi" w:eastAsiaTheme="minorHAnsi" w:hAnsiTheme="minorHAnsi" w:cstheme="minorBidi"/>
      <w:b/>
      <w:bCs/>
      <w:kern w:val="2"/>
      <w:sz w:val="18"/>
      <w:szCs w:val="18"/>
      <w14:ligatures w14:val="standardContextual"/>
    </w:rPr>
  </w:style>
  <w:style w:type="paragraph" w:styleId="Zpat">
    <w:name w:val="footer"/>
    <w:basedOn w:val="Normln"/>
    <w:link w:val="ZpatChar"/>
    <w:rsid w:val="004A32FD"/>
    <w:pPr>
      <w:tabs>
        <w:tab w:val="center" w:pos="4536"/>
        <w:tab w:val="right" w:pos="9072"/>
      </w:tabs>
    </w:pPr>
  </w:style>
  <w:style w:type="character" w:customStyle="1" w:styleId="ZpatChar">
    <w:name w:val="Zápatí Char"/>
    <w:basedOn w:val="Standardnpsmoodstavce"/>
    <w:link w:val="Zpat"/>
    <w:rsid w:val="004A32FD"/>
    <w:rPr>
      <w:rFonts w:ascii="Times New Roman" w:eastAsia="Times New Roman" w:hAnsi="Times New Roman" w:cs="Times New Roman"/>
      <w:kern w:val="0"/>
      <w:sz w:val="24"/>
      <w:szCs w:val="20"/>
      <w:lang w:eastAsia="cs-CZ"/>
      <w14:ligatures w14:val="none"/>
    </w:rPr>
  </w:style>
  <w:style w:type="character" w:styleId="slostrnky">
    <w:name w:val="page number"/>
    <w:basedOn w:val="Standardnpsmoodstavce"/>
    <w:rsid w:val="004A32FD"/>
  </w:style>
  <w:style w:type="paragraph" w:styleId="Odstavecseseznamem">
    <w:name w:val="List Paragraph"/>
    <w:basedOn w:val="Normln"/>
    <w:uiPriority w:val="34"/>
    <w:qFormat/>
    <w:rsid w:val="004A32FD"/>
    <w:pPr>
      <w:overflowPunct/>
      <w:autoSpaceDE/>
      <w:autoSpaceDN/>
      <w:adjustRightInd/>
      <w:spacing w:after="120"/>
      <w:ind w:left="708" w:firstLine="70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411</Words>
  <Characters>2425</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15</cp:revision>
  <dcterms:created xsi:type="dcterms:W3CDTF">2024-07-18T06:19:00Z</dcterms:created>
  <dcterms:modified xsi:type="dcterms:W3CDTF">2024-07-18T06:34:00Z</dcterms:modified>
</cp:coreProperties>
</file>